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B969" w14:textId="77777777" w:rsidR="00FB0DCC" w:rsidRPr="00E35011" w:rsidRDefault="00000000" w:rsidP="7F897DCA">
      <w:pPr>
        <w:rPr>
          <w:rFonts w:ascii="Verdana" w:eastAsia="Verdana" w:hAnsi="Verdana" w:cs="Verdana"/>
          <w:b/>
          <w:sz w:val="28"/>
          <w:szCs w:val="28"/>
        </w:rPr>
      </w:pPr>
      <w:r w:rsidRPr="78236AAE">
        <w:rPr>
          <w:rFonts w:ascii="Verdana" w:eastAsia="Verdana" w:hAnsi="Verdana" w:cs="Verdana"/>
          <w:b/>
          <w:sz w:val="28"/>
          <w:szCs w:val="28"/>
        </w:rPr>
        <w:t>Rutinebeskrivelse</w:t>
      </w:r>
      <w:r w:rsidRPr="78236AAE">
        <w:rPr>
          <w:rFonts w:ascii="Verdana" w:eastAsia="Verdana" w:hAnsi="Verdana" w:cs="Verdana"/>
          <w:b/>
          <w:sz w:val="28"/>
          <w:szCs w:val="28"/>
        </w:rPr>
        <w:t>- rett til innsyn i personopplysninger</w:t>
      </w:r>
    </w:p>
    <w:p w14:paraId="0EE4BACD" w14:textId="77777777" w:rsidR="00FB0DCC" w:rsidRPr="00976ABA" w:rsidRDefault="00000000" w:rsidP="7F897DCA">
      <w:pPr>
        <w:rPr>
          <w:rFonts w:ascii="Verdana" w:eastAsia="Verdana" w:hAnsi="Verdana" w:cs="Verdana"/>
          <w:b/>
          <w:sz w:val="22"/>
          <w:szCs w:val="22"/>
        </w:rPr>
      </w:pPr>
    </w:p>
    <w:p w14:paraId="77DF1326" w14:textId="77777777" w:rsidR="008C0976" w:rsidRDefault="00000000" w:rsidP="7F897DCA">
      <w:pPr>
        <w:rPr>
          <w:rFonts w:ascii="Verdana" w:eastAsia="Verdana" w:hAnsi="Verdana" w:cs="Verdana"/>
        </w:rPr>
      </w:pPr>
      <w:r w:rsidRPr="518BE1C2">
        <w:rPr>
          <w:rFonts w:ascii="Verdana" w:eastAsia="Verdana" w:hAnsi="Verdana" w:cs="Verdana"/>
        </w:rPr>
        <w:t xml:space="preserve">En registrert har rett til innsyn i sine personopplysninger hos kommunen. </w:t>
      </w:r>
    </w:p>
    <w:p w14:paraId="43EEA05A" w14:textId="77777777" w:rsidR="008C0976" w:rsidRDefault="00000000" w:rsidP="7F897DCA">
      <w:pPr>
        <w:rPr>
          <w:rFonts w:ascii="Verdana" w:eastAsia="Verdana" w:hAnsi="Verdana" w:cs="Verdana"/>
        </w:rPr>
      </w:pPr>
    </w:p>
    <w:p w14:paraId="348A66CD" w14:textId="77777777" w:rsidR="2AF0B934" w:rsidRDefault="00000000" w:rsidP="78236AAE">
      <w:pPr>
        <w:rPr>
          <w:rFonts w:ascii="Verdana" w:eastAsia="Verdana" w:hAnsi="Verdana" w:cs="Verdana"/>
        </w:rPr>
      </w:pPr>
      <w:r w:rsidRPr="78236AAE">
        <w:rPr>
          <w:rFonts w:ascii="Verdana" w:eastAsia="Verdana" w:hAnsi="Verdana" w:cs="Verdana"/>
        </w:rPr>
        <w:t xml:space="preserve">Innbygger kan spørre om hvilke opplysninger kommunen har lagret, og hvordan opplysningene behandles. Følgende skjema kan benyttes: </w:t>
      </w:r>
      <w:hyperlink r:id="rId7" w:history="1">
        <w:r w:rsidRPr="78236AAE">
          <w:rPr>
            <w:rStyle w:val="Hyperkobling"/>
            <w:rFonts w:ascii="Verdana" w:eastAsia="Verdana" w:hAnsi="Verdana" w:cs="Verdana"/>
          </w:rPr>
          <w:t>D</w:t>
        </w:r>
        <w:r w:rsidRPr="78236AAE">
          <w:rPr>
            <w:rStyle w:val="Hyperkobling"/>
            <w:rFonts w:ascii="Verdana" w:eastAsia="Verdana" w:hAnsi="Verdana" w:cs="Verdana"/>
          </w:rPr>
          <w:t>atatilsynet- maler/innsynsskjema_2018.pdf</w:t>
        </w:r>
      </w:hyperlink>
    </w:p>
    <w:p w14:paraId="3C96929A" w14:textId="77777777" w:rsidR="008C0976" w:rsidRPr="00BE2651" w:rsidRDefault="00000000" w:rsidP="7F897DCA">
      <w:pPr>
        <w:rPr>
          <w:rFonts w:ascii="Verdana" w:eastAsia="Verdana" w:hAnsi="Verdana" w:cs="Verdana"/>
        </w:rPr>
      </w:pPr>
    </w:p>
    <w:p w14:paraId="7782E666" w14:textId="77777777" w:rsidR="00FB0DCC" w:rsidRPr="00BE2651" w:rsidRDefault="00000000" w:rsidP="7F897DCA">
      <w:pPr>
        <w:rPr>
          <w:rFonts w:ascii="Verdana" w:eastAsia="Verdana" w:hAnsi="Verdana" w:cs="Verdana"/>
        </w:rPr>
      </w:pPr>
      <w:r w:rsidRPr="7F897DCA">
        <w:rPr>
          <w:rFonts w:ascii="Verdana" w:eastAsia="Verdana" w:hAnsi="Verdana" w:cs="Verdana"/>
        </w:rPr>
        <w:t xml:space="preserve">Tjenesten </w:t>
      </w:r>
      <w:r>
        <w:rPr>
          <w:rFonts w:ascii="Verdana" w:eastAsia="Verdana" w:hAnsi="Verdana" w:cs="Verdana"/>
        </w:rPr>
        <w:t>er</w:t>
      </w:r>
      <w:r w:rsidRPr="7F897DCA">
        <w:rPr>
          <w:rFonts w:ascii="Verdana" w:eastAsia="Verdana" w:hAnsi="Verdana" w:cs="Verdana"/>
        </w:rPr>
        <w:t xml:space="preserve"> i utgangspunktet en gratistjeneste. Dersom den registrerte ber om mer enn en kopi </w:t>
      </w:r>
      <w:r>
        <w:rPr>
          <w:rFonts w:ascii="Verdana" w:eastAsia="Verdana" w:hAnsi="Verdana" w:cs="Verdana"/>
        </w:rPr>
        <w:t xml:space="preserve">tar </w:t>
      </w:r>
      <w:r w:rsidRPr="7F897DCA">
        <w:rPr>
          <w:rFonts w:ascii="Verdana" w:eastAsia="Verdana" w:hAnsi="Verdana" w:cs="Verdana"/>
        </w:rPr>
        <w:t xml:space="preserve">kommunen likevel et administrasjonsgebyr. </w:t>
      </w:r>
    </w:p>
    <w:p w14:paraId="73CDC9B1" w14:textId="77777777" w:rsidR="00FB0DCC" w:rsidRPr="00BE2651" w:rsidRDefault="00000000" w:rsidP="7F897DCA">
      <w:pPr>
        <w:rPr>
          <w:rFonts w:ascii="Verdana" w:eastAsia="Verdana" w:hAnsi="Verdana" w:cs="Verdana"/>
          <w:b/>
          <w:bCs/>
        </w:rPr>
      </w:pPr>
    </w:p>
    <w:p w14:paraId="38BF8835" w14:textId="77777777" w:rsidR="006D5127" w:rsidRDefault="00000000" w:rsidP="7F897DCA">
      <w:pPr>
        <w:rPr>
          <w:rFonts w:ascii="Verdana" w:eastAsia="Verdana" w:hAnsi="Verdana" w:cs="Verdana"/>
        </w:rPr>
      </w:pPr>
      <w:r w:rsidRPr="7F897DCA">
        <w:rPr>
          <w:rFonts w:ascii="Verdana" w:eastAsia="Verdana" w:hAnsi="Verdana" w:cs="Verdana"/>
          <w:b/>
          <w:bCs/>
        </w:rPr>
        <w:t>Tidsfrist</w:t>
      </w:r>
      <w:r w:rsidRPr="78236AAE">
        <w:rPr>
          <w:rFonts w:ascii="Verdana" w:eastAsia="Verdana" w:hAnsi="Verdana" w:cs="Verdana"/>
          <w:b/>
          <w:bCs/>
        </w:rPr>
        <w:t>:</w:t>
      </w:r>
    </w:p>
    <w:p w14:paraId="26D92B4D" w14:textId="77777777" w:rsidR="00FB0DCC" w:rsidRPr="00BE2651" w:rsidRDefault="00000000" w:rsidP="7F897DCA">
      <w:pPr>
        <w:rPr>
          <w:rFonts w:ascii="Verdana" w:eastAsia="Verdana" w:hAnsi="Verdana" w:cs="Verdana"/>
          <w:lang w:eastAsia="nb-NO"/>
        </w:rPr>
      </w:pPr>
      <w:r w:rsidRPr="7F897DCA">
        <w:rPr>
          <w:rFonts w:ascii="Verdana" w:eastAsia="Verdana" w:hAnsi="Verdana" w:cs="Verdana"/>
        </w:rPr>
        <w:t xml:space="preserve">Kommunen </w:t>
      </w:r>
      <w:r w:rsidRPr="7F897DCA">
        <w:rPr>
          <w:rFonts w:ascii="Verdana" w:eastAsia="Verdana" w:hAnsi="Verdana" w:cs="Verdana"/>
          <w:color w:val="000000"/>
          <w:shd w:val="clear" w:color="auto" w:fill="FFFFFF"/>
          <w:lang w:eastAsia="nb-NO"/>
        </w:rPr>
        <w:t>skal gi innsyn i personopplysninger uten ugrunnet opphold. Dette skal skje senest innen en måned, og fristen starter å løpe fra vi mottar en gyldig innsynsbegjæring.</w:t>
      </w:r>
    </w:p>
    <w:p w14:paraId="745EFED6" w14:textId="77777777" w:rsidR="00FB0DCC" w:rsidRPr="00BE2651" w:rsidRDefault="00000000" w:rsidP="7F897DCA">
      <w:pPr>
        <w:rPr>
          <w:rFonts w:ascii="Verdana" w:eastAsia="Verdana" w:hAnsi="Verdana" w:cs="Verdana"/>
          <w:b/>
          <w:bCs/>
        </w:rPr>
      </w:pPr>
    </w:p>
    <w:p w14:paraId="7B635E16" w14:textId="77777777" w:rsidR="006D5127" w:rsidRDefault="00000000" w:rsidP="7F897DCA">
      <w:pPr>
        <w:rPr>
          <w:rFonts w:ascii="Verdana" w:eastAsia="Verdana" w:hAnsi="Verdana" w:cs="Verdana"/>
          <w:b/>
          <w:bCs/>
        </w:rPr>
      </w:pPr>
      <w:r w:rsidRPr="7F897DCA">
        <w:rPr>
          <w:rFonts w:ascii="Verdana" w:eastAsia="Verdana" w:hAnsi="Verdana" w:cs="Verdana"/>
          <w:b/>
          <w:bCs/>
        </w:rPr>
        <w:t>Innsynet</w:t>
      </w:r>
      <w:r w:rsidRPr="78236AAE">
        <w:rPr>
          <w:rFonts w:ascii="Verdana" w:eastAsia="Verdana" w:hAnsi="Verdana" w:cs="Verdana"/>
          <w:b/>
          <w:bCs/>
        </w:rPr>
        <w:t xml:space="preserve">: </w:t>
      </w:r>
    </w:p>
    <w:p w14:paraId="2E1D660F" w14:textId="77777777" w:rsidR="00FB0DCC" w:rsidRPr="00BE2651" w:rsidRDefault="00000000" w:rsidP="7F897DCA">
      <w:pPr>
        <w:rPr>
          <w:rFonts w:ascii="Verdana" w:eastAsia="Verdana" w:hAnsi="Verdana" w:cs="Verdana"/>
        </w:rPr>
      </w:pPr>
      <w:r w:rsidRPr="7F897DCA">
        <w:rPr>
          <w:rFonts w:ascii="Verdana" w:eastAsia="Verdana" w:hAnsi="Verdana" w:cs="Verdana"/>
        </w:rPr>
        <w:t xml:space="preserve">Behandlingsansvarlige skal gjøre tilgjengelig en kopi av personopplysningene som behandles. </w:t>
      </w:r>
      <w:r w:rsidRPr="7F897DCA">
        <w:rPr>
          <w:rFonts w:ascii="Verdana" w:eastAsia="Verdana" w:hAnsi="Verdana" w:cs="Verdana"/>
          <w:color w:val="333333"/>
          <w:shd w:val="clear" w:color="auto" w:fill="FFFFFF"/>
          <w:lang w:eastAsia="nb-NO"/>
        </w:rPr>
        <w:t>Dersom den registrerte inngir anmodningen elektronisk, og med mindre den registrerte anmoder om noe annet, skal informasjonen gis i en vanlig elektronisk form.</w:t>
      </w:r>
      <w:r w:rsidRPr="7F897DCA">
        <w:rPr>
          <w:rFonts w:ascii="Verdana" w:eastAsia="Verdana" w:hAnsi="Verdana" w:cs="Verdana"/>
        </w:rPr>
        <w:t xml:space="preserve"> (artikkel 15). </w:t>
      </w:r>
      <w:r w:rsidRPr="78236AAE">
        <w:rPr>
          <w:rFonts w:ascii="Verdana" w:eastAsia="Verdana" w:hAnsi="Verdana" w:cs="Verdana"/>
        </w:rPr>
        <w:t>Porsanger kommune sender svar via ordinær sak-/arkivsystem og Sikker Digital Post (SDP)/ SvarUt.</w:t>
      </w:r>
    </w:p>
    <w:p w14:paraId="38E10EDD" w14:textId="77777777" w:rsidR="00FB0DCC" w:rsidRPr="00BE2651" w:rsidRDefault="00000000" w:rsidP="7F897DCA">
      <w:pPr>
        <w:rPr>
          <w:rFonts w:ascii="Verdana" w:eastAsia="Verdana" w:hAnsi="Verdana" w:cs="Verdana"/>
          <w:lang w:eastAsia="nb-NO"/>
        </w:rPr>
      </w:pPr>
    </w:p>
    <w:p w14:paraId="2D03FDB7" w14:textId="77777777" w:rsidR="00FB0DCC" w:rsidRPr="00BE2651" w:rsidRDefault="00000000" w:rsidP="005E00C7">
      <w:pPr>
        <w:rPr>
          <w:rFonts w:ascii="Verdana" w:eastAsia="Verdana" w:hAnsi="Verdana" w:cs="Verdana"/>
          <w:b/>
          <w:bCs/>
        </w:rPr>
      </w:pPr>
      <w:r w:rsidRPr="7F897DCA">
        <w:rPr>
          <w:rFonts w:ascii="Verdana" w:eastAsia="Verdana" w:hAnsi="Verdana" w:cs="Verdana"/>
          <w:b/>
          <w:bCs/>
        </w:rPr>
        <w:t xml:space="preserve">Innbygger kan be om: </w:t>
      </w:r>
    </w:p>
    <w:p w14:paraId="0D292F9F" w14:textId="77777777" w:rsidR="00FB0DCC" w:rsidRPr="00BE2651" w:rsidRDefault="00000000" w:rsidP="005E00C7">
      <w:pPr>
        <w:numPr>
          <w:ilvl w:val="0"/>
          <w:numId w:val="1"/>
        </w:numPr>
        <w:textAlignment w:val="baseline"/>
        <w:rPr>
          <w:rFonts w:ascii="Verdana" w:eastAsia="Verdana" w:hAnsi="Verdana" w:cs="Verdana"/>
          <w:color w:val="2C2C2C"/>
        </w:rPr>
      </w:pPr>
      <w:r w:rsidRPr="7F897DCA">
        <w:rPr>
          <w:rFonts w:ascii="Verdana" w:eastAsia="Verdana" w:hAnsi="Verdana" w:cs="Verdana"/>
          <w:color w:val="2C2C2C"/>
        </w:rPr>
        <w:t>Hva er formålet?</w:t>
      </w:r>
    </w:p>
    <w:p w14:paraId="0014ADF3" w14:textId="77777777" w:rsidR="00FB0DCC" w:rsidRPr="00BE2651" w:rsidRDefault="00000000" w:rsidP="7F897DCA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Verdana" w:eastAsia="Verdana" w:hAnsi="Verdana" w:cs="Verdana"/>
          <w:color w:val="2C2C2C"/>
        </w:rPr>
      </w:pPr>
      <w:r w:rsidRPr="7F897DCA">
        <w:rPr>
          <w:rFonts w:ascii="Verdana" w:eastAsia="Verdana" w:hAnsi="Verdana" w:cs="Verdana"/>
          <w:color w:val="2C2C2C"/>
        </w:rPr>
        <w:t>Hvilke opplysninger om deg har virksomheten lagret?</w:t>
      </w:r>
    </w:p>
    <w:p w14:paraId="3461E5D2" w14:textId="77777777" w:rsidR="00FB0DCC" w:rsidRPr="00BE2651" w:rsidRDefault="00000000" w:rsidP="7F897DCA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Verdana" w:eastAsia="Verdana" w:hAnsi="Verdana" w:cs="Verdana"/>
          <w:color w:val="2C2C2C"/>
        </w:rPr>
      </w:pPr>
      <w:r w:rsidRPr="7F897DCA">
        <w:rPr>
          <w:rFonts w:ascii="Verdana" w:eastAsia="Verdana" w:hAnsi="Verdana" w:cs="Verdana"/>
          <w:color w:val="2C2C2C"/>
        </w:rPr>
        <w:t>Har eller vil virksomheten utlevere opplysningene, og hvem er i så fall mottakerne? Dersom mottakerne er utenfor EØS eller en internasjonal organisasjon, hvilke garantier finnes for personvernet?</w:t>
      </w:r>
    </w:p>
    <w:p w14:paraId="2ABA7904" w14:textId="77777777" w:rsidR="00FB0DCC" w:rsidRPr="00BE2651" w:rsidRDefault="00000000" w:rsidP="7F897DCA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Verdana" w:eastAsia="Verdana" w:hAnsi="Verdana" w:cs="Verdana"/>
          <w:color w:val="2C2C2C"/>
        </w:rPr>
      </w:pPr>
      <w:r w:rsidRPr="7F897DCA">
        <w:rPr>
          <w:rFonts w:ascii="Verdana" w:eastAsia="Verdana" w:hAnsi="Verdana" w:cs="Verdana"/>
          <w:color w:val="2C2C2C"/>
        </w:rPr>
        <w:t>Hvor lenge lagrer virksomheten opplysningene? Eller dersom det ikke er mulig å komme med en endelig lagringstid, hva er det som avgjør hvor lenge opplysningene vil lagres?</w:t>
      </w:r>
    </w:p>
    <w:p w14:paraId="4EC159C1" w14:textId="77777777" w:rsidR="00FB0DCC" w:rsidRPr="00BE2651" w:rsidRDefault="00000000" w:rsidP="7F897DCA">
      <w:pPr>
        <w:numPr>
          <w:ilvl w:val="0"/>
          <w:numId w:val="1"/>
        </w:numPr>
        <w:spacing w:beforeAutospacing="1" w:afterAutospacing="1"/>
        <w:textAlignment w:val="baseline"/>
        <w:rPr>
          <w:rFonts w:ascii="Verdana" w:eastAsia="Verdana" w:hAnsi="Verdana" w:cs="Verdana"/>
          <w:color w:val="2C2C2C"/>
        </w:rPr>
      </w:pPr>
      <w:r w:rsidRPr="7F897DCA">
        <w:rPr>
          <w:rFonts w:ascii="Verdana" w:eastAsia="Verdana" w:hAnsi="Verdana" w:cs="Verdana"/>
          <w:color w:val="2C2C2C"/>
        </w:rPr>
        <w:t>I hvilken grad har du rett til</w:t>
      </w:r>
      <w:r w:rsidRPr="7F897DCA">
        <w:rPr>
          <w:rStyle w:val="apple-converted-space"/>
          <w:rFonts w:ascii="Verdana" w:eastAsia="Verdana" w:hAnsi="Verdana" w:cs="Verdana"/>
          <w:color w:val="2C2C2C"/>
        </w:rPr>
        <w:t> </w:t>
      </w:r>
      <w:hyperlink r:id="rId8" w:history="1">
        <w:r w:rsidRPr="7F897DCA">
          <w:rPr>
            <w:rStyle w:val="Hyperkobling"/>
            <w:rFonts w:ascii="Verdana" w:eastAsia="Verdana" w:hAnsi="Verdana" w:cs="Verdana"/>
            <w:color w:val="C44D0C"/>
            <w:bdr w:val="none" w:sz="0" w:space="0" w:color="auto" w:frame="1"/>
          </w:rPr>
          <w:t>retting</w:t>
        </w:r>
      </w:hyperlink>
      <w:r w:rsidRPr="7F897DCA">
        <w:rPr>
          <w:rFonts w:ascii="Verdana" w:eastAsia="Verdana" w:hAnsi="Verdana" w:cs="Verdana"/>
          <w:color w:val="2C2C2C"/>
        </w:rPr>
        <w:t>,</w:t>
      </w:r>
      <w:r w:rsidRPr="7F897DCA">
        <w:rPr>
          <w:rStyle w:val="apple-converted-space"/>
          <w:rFonts w:ascii="Verdana" w:eastAsia="Verdana" w:hAnsi="Verdana" w:cs="Verdana"/>
          <w:color w:val="2C2C2C"/>
        </w:rPr>
        <w:t> </w:t>
      </w:r>
      <w:hyperlink r:id="rId9" w:history="1">
        <w:r w:rsidRPr="7F897DCA">
          <w:rPr>
            <w:rStyle w:val="Hyperkobling"/>
            <w:rFonts w:ascii="Verdana" w:eastAsia="Verdana" w:hAnsi="Verdana" w:cs="Verdana"/>
            <w:color w:val="C44D0C"/>
            <w:bdr w:val="none" w:sz="0" w:space="0" w:color="auto" w:frame="1"/>
          </w:rPr>
          <w:t>sletting</w:t>
        </w:r>
      </w:hyperlink>
      <w:r w:rsidRPr="7F897DCA">
        <w:rPr>
          <w:rFonts w:ascii="Verdana" w:eastAsia="Verdana" w:hAnsi="Verdana" w:cs="Verdana"/>
          <w:color w:val="2C2C2C"/>
        </w:rPr>
        <w:t>,</w:t>
      </w:r>
      <w:r w:rsidRPr="7F897DCA">
        <w:rPr>
          <w:rStyle w:val="apple-converted-space"/>
          <w:rFonts w:ascii="Verdana" w:eastAsia="Verdana" w:hAnsi="Verdana" w:cs="Verdana"/>
          <w:color w:val="2C2C2C"/>
        </w:rPr>
        <w:t> </w:t>
      </w:r>
      <w:hyperlink r:id="rId10" w:history="1">
        <w:r w:rsidRPr="7F897DCA">
          <w:rPr>
            <w:rStyle w:val="Hyperkobling"/>
            <w:rFonts w:ascii="Verdana" w:eastAsia="Verdana" w:hAnsi="Verdana" w:cs="Verdana"/>
            <w:color w:val="C44D0C"/>
            <w:bdr w:val="none" w:sz="0" w:space="0" w:color="auto" w:frame="1"/>
          </w:rPr>
          <w:t>avgrensning</w:t>
        </w:r>
      </w:hyperlink>
      <w:r w:rsidRPr="7F897DCA">
        <w:rPr>
          <w:rStyle w:val="apple-converted-space"/>
          <w:rFonts w:ascii="Verdana" w:eastAsia="Verdana" w:hAnsi="Verdana" w:cs="Verdana"/>
          <w:color w:val="2C2C2C"/>
        </w:rPr>
        <w:t> </w:t>
      </w:r>
      <w:r w:rsidRPr="7F897DCA">
        <w:rPr>
          <w:rFonts w:ascii="Verdana" w:eastAsia="Verdana" w:hAnsi="Verdana" w:cs="Verdana"/>
          <w:color w:val="2C2C2C"/>
        </w:rPr>
        <w:t>eller til å</w:t>
      </w:r>
      <w:r w:rsidRPr="7F897DCA">
        <w:rPr>
          <w:rStyle w:val="apple-converted-space"/>
          <w:rFonts w:ascii="Verdana" w:eastAsia="Verdana" w:hAnsi="Verdana" w:cs="Verdana"/>
          <w:color w:val="2C2C2C"/>
        </w:rPr>
        <w:t> </w:t>
      </w:r>
      <w:hyperlink r:id="rId11" w:history="1">
        <w:r w:rsidRPr="7F897DCA">
          <w:rPr>
            <w:rStyle w:val="Hyperkobling"/>
            <w:rFonts w:ascii="Verdana" w:eastAsia="Verdana" w:hAnsi="Verdana" w:cs="Verdana"/>
            <w:color w:val="C44D0C"/>
            <w:bdr w:val="none" w:sz="0" w:space="0" w:color="auto" w:frame="1"/>
          </w:rPr>
          <w:t>protestere mot behandlingen?</w:t>
        </w:r>
      </w:hyperlink>
    </w:p>
    <w:p w14:paraId="6A9D3001" w14:textId="77777777" w:rsidR="00FB0DCC" w:rsidRPr="00BE2651" w:rsidRDefault="00000000" w:rsidP="7F897DCA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Verdana" w:eastAsia="Verdana" w:hAnsi="Verdana" w:cs="Verdana"/>
          <w:color w:val="2C2C2C"/>
        </w:rPr>
      </w:pPr>
      <w:r w:rsidRPr="7F897DCA">
        <w:rPr>
          <w:rFonts w:ascii="Verdana" w:eastAsia="Verdana" w:hAnsi="Verdana" w:cs="Verdana"/>
          <w:color w:val="2C2C2C"/>
        </w:rPr>
        <w:t>Hvor har virksomheten hentet opplysningene fra?</w:t>
      </w:r>
    </w:p>
    <w:p w14:paraId="2B478FF9" w14:textId="77777777" w:rsidR="00FB0DCC" w:rsidRPr="00BE2651" w:rsidRDefault="00000000" w:rsidP="7F897DCA">
      <w:pPr>
        <w:numPr>
          <w:ilvl w:val="0"/>
          <w:numId w:val="1"/>
        </w:numPr>
        <w:textAlignment w:val="baseline"/>
        <w:rPr>
          <w:rFonts w:ascii="Verdana" w:eastAsia="Verdana" w:hAnsi="Verdana" w:cs="Verdana"/>
        </w:rPr>
      </w:pPr>
      <w:r w:rsidRPr="7F897DCA">
        <w:rPr>
          <w:rFonts w:ascii="Verdana" w:eastAsia="Verdana" w:hAnsi="Verdana" w:cs="Verdana"/>
          <w:color w:val="2C2C2C"/>
        </w:rPr>
        <w:t>Tar virksomheten </w:t>
      </w:r>
      <w:hyperlink r:id="rId12" w:history="1">
        <w:r w:rsidRPr="7F897DCA">
          <w:rPr>
            <w:rStyle w:val="Hyperkobling"/>
            <w:rFonts w:ascii="Verdana" w:eastAsia="Verdana" w:hAnsi="Verdana" w:cs="Verdana"/>
            <w:color w:val="C44D0C"/>
            <w:bdr w:val="none" w:sz="0" w:space="0" w:color="auto" w:frame="1"/>
          </w:rPr>
          <w:t>automatiserte individuelle avgjørelser?</w:t>
        </w:r>
      </w:hyperlink>
      <w:r w:rsidRPr="7F897DCA">
        <w:rPr>
          <w:rFonts w:ascii="Verdana" w:eastAsia="Verdana" w:hAnsi="Verdana" w:cs="Verdana"/>
          <w:color w:val="2C2C2C"/>
        </w:rPr>
        <w:t> Og i så fall, hvilken logikk ligger bak, og hvilke følger kan det ha for deg?</w:t>
      </w:r>
    </w:p>
    <w:p w14:paraId="736B15BA" w14:textId="77777777" w:rsidR="00FB0DCC" w:rsidRPr="00BE2651" w:rsidRDefault="00000000" w:rsidP="518BE1C2">
      <w:pPr>
        <w:textAlignment w:val="baseline"/>
        <w:rPr>
          <w:rFonts w:ascii="Verdana" w:eastAsia="Verdana" w:hAnsi="Verdana" w:cs="Verdana"/>
          <w:sz w:val="20"/>
          <w:szCs w:val="20"/>
        </w:rPr>
      </w:pPr>
      <w:r w:rsidRPr="518BE1C2">
        <w:rPr>
          <w:rFonts w:ascii="Verdana" w:eastAsia="Verdana" w:hAnsi="Verdana" w:cs="Verdana"/>
          <w:color w:val="2C2C2C"/>
          <w:sz w:val="20"/>
          <w:szCs w:val="20"/>
        </w:rPr>
        <w:t>(kilde: www.datatilsynet.no)</w:t>
      </w:r>
    </w:p>
    <w:p w14:paraId="6E2D6B57" w14:textId="77777777" w:rsidR="009F2C4B" w:rsidRDefault="00000000" w:rsidP="7F897DCA">
      <w:pPr>
        <w:rPr>
          <w:rFonts w:ascii="Verdana" w:eastAsia="Verdana" w:hAnsi="Verdana" w:cs="Verdana"/>
          <w:b/>
          <w:bCs/>
        </w:rPr>
      </w:pPr>
    </w:p>
    <w:p w14:paraId="5F7BE2A9" w14:textId="77777777" w:rsidR="006D5127" w:rsidRDefault="00000000" w:rsidP="7F897DCA">
      <w:pPr>
        <w:rPr>
          <w:rFonts w:ascii="Verdana" w:eastAsia="Verdana" w:hAnsi="Verdana" w:cs="Verdana"/>
          <w:b/>
          <w:bCs/>
        </w:rPr>
      </w:pPr>
    </w:p>
    <w:p w14:paraId="2EB3698D" w14:textId="77777777" w:rsidR="006D5127" w:rsidRDefault="00000000" w:rsidP="7F897DCA">
      <w:pPr>
        <w:rPr>
          <w:rFonts w:ascii="Verdana" w:eastAsia="Verdana" w:hAnsi="Verdana" w:cs="Verdana"/>
          <w:b/>
          <w:bCs/>
        </w:rPr>
      </w:pPr>
    </w:p>
    <w:p w14:paraId="33E51F3D" w14:textId="77777777" w:rsidR="006D5127" w:rsidRDefault="00000000" w:rsidP="7F897DCA">
      <w:pPr>
        <w:rPr>
          <w:rFonts w:ascii="Verdana" w:eastAsia="Verdana" w:hAnsi="Verdana" w:cs="Verdana"/>
          <w:b/>
          <w:bCs/>
        </w:rPr>
      </w:pPr>
    </w:p>
    <w:p w14:paraId="77EC38E7" w14:textId="77777777" w:rsidR="00FB0DCC" w:rsidRPr="009F2C4B" w:rsidRDefault="00000000" w:rsidP="7F897DCA">
      <w:pPr>
        <w:rPr>
          <w:rFonts w:ascii="Verdana" w:eastAsia="Verdana" w:hAnsi="Verdana" w:cs="Verdana"/>
          <w:b/>
          <w:bCs/>
          <w:color w:val="FF0000"/>
        </w:rPr>
      </w:pPr>
      <w:r w:rsidRPr="009F2C4B">
        <w:rPr>
          <w:rFonts w:ascii="Verdana" w:eastAsia="Verdana" w:hAnsi="Verdana" w:cs="Verdana"/>
          <w:b/>
          <w:bCs/>
        </w:rPr>
        <w:lastRenderedPageBreak/>
        <w:t xml:space="preserve">Innsynsbegjæringen sendes til følgende </w:t>
      </w:r>
      <w:r w:rsidRPr="78236AAE">
        <w:rPr>
          <w:rFonts w:ascii="Verdana" w:eastAsia="Verdana" w:hAnsi="Verdana" w:cs="Verdana"/>
          <w:b/>
          <w:bCs/>
        </w:rPr>
        <w:t>adresse</w:t>
      </w:r>
      <w:r w:rsidRPr="009F2C4B">
        <w:rPr>
          <w:rFonts w:ascii="Verdana" w:eastAsia="Verdana" w:hAnsi="Verdana" w:cs="Verdana"/>
          <w:b/>
          <w:bCs/>
        </w:rPr>
        <w:t>:</w:t>
      </w:r>
    </w:p>
    <w:p w14:paraId="3C4FFCA4" w14:textId="77777777" w:rsidR="518BE1C2" w:rsidRDefault="00000000" w:rsidP="518BE1C2">
      <w:pPr>
        <w:rPr>
          <w:rFonts w:ascii="Verdana" w:eastAsia="Verdana" w:hAnsi="Verdana" w:cs="Verdana"/>
          <w:b/>
          <w:bCs/>
        </w:rPr>
      </w:pPr>
      <w:r w:rsidRPr="78236AAE">
        <w:rPr>
          <w:rFonts w:ascii="Verdana" w:eastAsia="Verdana" w:hAnsi="Verdana" w:cs="Verdana"/>
        </w:rPr>
        <w:t>Papirformat sendes til:</w:t>
      </w:r>
      <w:r>
        <w:tab/>
      </w:r>
      <w:r w:rsidRPr="518BE1C2">
        <w:rPr>
          <w:rFonts w:ascii="Verdana" w:eastAsia="Verdana" w:hAnsi="Verdana" w:cs="Verdana"/>
        </w:rPr>
        <w:t>Porsanger kommune</w:t>
      </w:r>
    </w:p>
    <w:p w14:paraId="639BE9D5" w14:textId="77777777" w:rsidR="518BE1C2" w:rsidRDefault="00000000" w:rsidP="78236AAE">
      <w:pPr>
        <w:ind w:left="2124" w:firstLine="708"/>
        <w:rPr>
          <w:rFonts w:ascii="Verdana" w:eastAsia="Verdana" w:hAnsi="Verdana" w:cs="Verdana"/>
        </w:rPr>
      </w:pPr>
      <w:r w:rsidRPr="518BE1C2">
        <w:rPr>
          <w:rFonts w:ascii="Verdana" w:eastAsia="Verdana" w:hAnsi="Verdana" w:cs="Verdana"/>
        </w:rPr>
        <w:t>Postboks 400, Rådhuset</w:t>
      </w:r>
    </w:p>
    <w:p w14:paraId="6F666A71" w14:textId="77777777" w:rsidR="518BE1C2" w:rsidRDefault="00000000" w:rsidP="78236AAE">
      <w:pPr>
        <w:ind w:left="2124" w:firstLine="708"/>
        <w:rPr>
          <w:rFonts w:ascii="Verdana" w:eastAsia="Verdana" w:hAnsi="Verdana" w:cs="Verdana"/>
        </w:rPr>
      </w:pPr>
      <w:r w:rsidRPr="518BE1C2">
        <w:rPr>
          <w:rFonts w:ascii="Verdana" w:eastAsia="Verdana" w:hAnsi="Verdana" w:cs="Verdana"/>
        </w:rPr>
        <w:t>9712 Lakselv</w:t>
      </w:r>
    </w:p>
    <w:p w14:paraId="470E57A1" w14:textId="77777777" w:rsidR="518BE1C2" w:rsidRDefault="00000000" w:rsidP="518BE1C2">
      <w:pPr>
        <w:rPr>
          <w:rFonts w:ascii="Verdana" w:eastAsia="Verdana" w:hAnsi="Verdana" w:cs="Verdana"/>
        </w:rPr>
      </w:pPr>
    </w:p>
    <w:p w14:paraId="0C448898" w14:textId="77777777" w:rsidR="00FB0DCC" w:rsidRPr="00BE2651" w:rsidRDefault="00000000" w:rsidP="78236AAE">
      <w:pPr>
        <w:rPr>
          <w:rFonts w:ascii="Verdana" w:eastAsia="Verdana" w:hAnsi="Verdana" w:cs="Verdana"/>
        </w:rPr>
      </w:pPr>
      <w:r w:rsidRPr="78236AAE">
        <w:rPr>
          <w:rFonts w:ascii="Verdana" w:eastAsia="Verdana" w:hAnsi="Verdana" w:cs="Verdana"/>
        </w:rPr>
        <w:t xml:space="preserve">Digitalt sendes her: </w:t>
      </w:r>
      <w:r>
        <w:tab/>
      </w:r>
      <w:hyperlink r:id="rId13" w:history="1">
        <w:r w:rsidRPr="78236AAE">
          <w:rPr>
            <w:rStyle w:val="Hyperkobling"/>
            <w:rFonts w:ascii="Verdana" w:eastAsia="Verdana" w:hAnsi="Verdana" w:cs="Verdana"/>
          </w:rPr>
          <w:t>eDialog med Porsanger kommune</w:t>
        </w:r>
      </w:hyperlink>
      <w:r w:rsidRPr="78236AAE">
        <w:rPr>
          <w:rFonts w:ascii="Verdana" w:eastAsia="Verdana" w:hAnsi="Verdana" w:cs="Verdana"/>
        </w:rPr>
        <w:t xml:space="preserve"> (</w:t>
      </w:r>
      <w:hyperlink r:id="rId14" w:history="1">
        <w:r w:rsidRPr="78236AAE">
          <w:rPr>
            <w:rStyle w:val="Hyperkobling"/>
            <w:rFonts w:ascii="Verdana" w:eastAsia="Verdana" w:hAnsi="Verdana" w:cs="Verdana"/>
          </w:rPr>
          <w:t>https://svarut.ks.no/edialog/mottaker/959411735</w:t>
        </w:r>
      </w:hyperlink>
      <w:r w:rsidRPr="78236AAE">
        <w:rPr>
          <w:rFonts w:ascii="Verdana" w:eastAsia="Verdana" w:hAnsi="Verdana" w:cs="Verdana"/>
        </w:rPr>
        <w:t xml:space="preserve">) </w:t>
      </w:r>
    </w:p>
    <w:p w14:paraId="3C38DF2C" w14:textId="77777777" w:rsidR="00FB0DCC" w:rsidRPr="00BE2651" w:rsidRDefault="00000000" w:rsidP="78236AAE">
      <w:pPr>
        <w:rPr>
          <w:rFonts w:ascii="Verdana" w:eastAsia="Verdana" w:hAnsi="Verdana" w:cs="Verdana"/>
          <w:b/>
          <w:bCs/>
        </w:rPr>
      </w:pPr>
    </w:p>
    <w:p w14:paraId="6CD67E69" w14:textId="77777777" w:rsidR="00FB0DCC" w:rsidRPr="00BE2651" w:rsidRDefault="00000000" w:rsidP="78236AAE">
      <w:pPr>
        <w:rPr>
          <w:rFonts w:ascii="Verdana" w:eastAsia="Verdana" w:hAnsi="Verdana" w:cs="Verdana"/>
        </w:rPr>
      </w:pPr>
      <w:r w:rsidRPr="78236AAE">
        <w:rPr>
          <w:rFonts w:ascii="Verdana" w:eastAsia="Verdana" w:hAnsi="Verdana" w:cs="Verdana"/>
          <w:b/>
          <w:bCs/>
        </w:rPr>
        <w:t xml:space="preserve">Ansvarlig for håndtering av innsynsbegjæringen: </w:t>
      </w:r>
      <w:r w:rsidRPr="78236AAE">
        <w:rPr>
          <w:rFonts w:ascii="Verdana" w:eastAsia="Verdana" w:hAnsi="Verdana" w:cs="Verdana"/>
        </w:rPr>
        <w:t>Arkivleder</w:t>
      </w:r>
    </w:p>
    <w:p w14:paraId="7BBC83C4" w14:textId="77777777" w:rsidR="00FB0DCC" w:rsidRPr="00BE2651" w:rsidRDefault="00000000" w:rsidP="7F897DCA">
      <w:pPr>
        <w:rPr>
          <w:rFonts w:ascii="Verdana" w:eastAsia="Verdana" w:hAnsi="Verdana" w:cs="Verdana"/>
        </w:rPr>
      </w:pPr>
    </w:p>
    <w:p w14:paraId="0A17FFB3" w14:textId="77777777" w:rsidR="00FB0DCC" w:rsidRDefault="00000000" w:rsidP="008C3D6D">
      <w:pPr>
        <w:rPr>
          <w:rFonts w:ascii="Verdana" w:eastAsia="Verdana" w:hAnsi="Verdana" w:cs="Verdana"/>
          <w:color w:val="000000" w:themeColor="text1"/>
        </w:rPr>
      </w:pPr>
      <w:r w:rsidRPr="7F897DCA">
        <w:rPr>
          <w:rFonts w:ascii="Verdana" w:eastAsia="Verdana" w:hAnsi="Verdana" w:cs="Verdana"/>
          <w:b/>
          <w:bCs/>
          <w:color w:val="000000" w:themeColor="text1"/>
        </w:rPr>
        <w:t>Informasjonssikkerhet</w:t>
      </w:r>
      <w:r w:rsidRPr="78236AAE">
        <w:rPr>
          <w:rFonts w:ascii="Verdana" w:eastAsia="Verdana" w:hAnsi="Verdana" w:cs="Verdana"/>
          <w:b/>
          <w:bCs/>
          <w:color w:val="000000" w:themeColor="text1"/>
        </w:rPr>
        <w:t xml:space="preserve">: </w:t>
      </w:r>
      <w:r w:rsidRPr="7F897DCA">
        <w:rPr>
          <w:rFonts w:ascii="Verdana" w:eastAsia="Verdana" w:hAnsi="Verdana" w:cs="Verdana"/>
          <w:color w:val="000000" w:themeColor="text1"/>
        </w:rPr>
        <w:t xml:space="preserve">Kommunen har plikt til å sikre personopplysningene og det gjelder også ved innsynsbegjæringer. Enkelte opplysninger er så beskyttelsesverdige at de ikke bør sendes via vanlig ukryptert e-post. Kommunen må gjøre en risikovurdering av hvordan innsynet skal gis og sikre at personopplysningene deles med riktig person. (artikkel 32) </w:t>
      </w:r>
    </w:p>
    <w:p w14:paraId="55B9357E" w14:textId="77777777" w:rsidR="009F2C4B" w:rsidRPr="008C3D6D" w:rsidRDefault="00000000" w:rsidP="008C3D6D">
      <w:pPr>
        <w:rPr>
          <w:rFonts w:ascii="Verdana" w:eastAsia="Verdana" w:hAnsi="Verdana" w:cs="Verdana"/>
          <w:color w:val="000000" w:themeColor="text1"/>
        </w:rPr>
      </w:pPr>
    </w:p>
    <w:p w14:paraId="3D45F6D8" w14:textId="77777777" w:rsidR="00FB0DCC" w:rsidRPr="00BE2651" w:rsidRDefault="00000000" w:rsidP="009F2C4B">
      <w:pPr>
        <w:pStyle w:val="NormalWeb"/>
        <w:spacing w:before="0" w:beforeAutospacing="0" w:after="0" w:afterAutospacing="0"/>
        <w:textAlignment w:val="baseline"/>
        <w:rPr>
          <w:rFonts w:ascii="Verdana" w:eastAsia="Verdana" w:hAnsi="Verdana" w:cs="Verdana"/>
          <w:b/>
          <w:bCs/>
          <w:color w:val="2C2C2C"/>
        </w:rPr>
      </w:pPr>
      <w:r w:rsidRPr="7F897DCA">
        <w:rPr>
          <w:rFonts w:ascii="Verdana" w:eastAsia="Verdana" w:hAnsi="Verdana" w:cs="Verdana"/>
          <w:b/>
          <w:bCs/>
          <w:color w:val="2C2C2C"/>
        </w:rPr>
        <w:t>Innsynsretten gjelder ikke dersom:</w:t>
      </w:r>
    </w:p>
    <w:p w14:paraId="401B8EAA" w14:textId="77777777" w:rsidR="00FB0DCC" w:rsidRPr="00BE2651" w:rsidRDefault="00000000" w:rsidP="009F2C4B">
      <w:pPr>
        <w:numPr>
          <w:ilvl w:val="0"/>
          <w:numId w:val="2"/>
        </w:numPr>
        <w:textAlignment w:val="baseline"/>
        <w:rPr>
          <w:rFonts w:ascii="Verdana" w:eastAsia="Verdana" w:hAnsi="Verdana" w:cs="Verdana"/>
          <w:color w:val="2C2C2C"/>
        </w:rPr>
      </w:pPr>
      <w:r w:rsidRPr="7F897DCA">
        <w:rPr>
          <w:rFonts w:ascii="Verdana" w:eastAsia="Verdana" w:hAnsi="Verdana" w:cs="Verdana"/>
          <w:color w:val="2C2C2C"/>
        </w:rPr>
        <w:t>opplysningene er av betydning for Norges utenrikspolitiske interesser eller nasjonale forsvars- og sikkerhetsinteresser. Dette unntaket gjelder bare dersom det også kan gjøres unntak fra allment innsyn for slike opplysninger etter</w:t>
      </w:r>
      <w:r w:rsidRPr="7F897DCA">
        <w:rPr>
          <w:rStyle w:val="apple-converted-space"/>
          <w:rFonts w:ascii="Verdana" w:eastAsia="Verdana" w:hAnsi="Verdana" w:cs="Verdana"/>
          <w:color w:val="2C2C2C"/>
        </w:rPr>
        <w:t> </w:t>
      </w:r>
      <w:hyperlink r:id="rId15" w:tgtFrame="_blank" w:history="1">
        <w:r w:rsidRPr="7F897DCA">
          <w:rPr>
            <w:rStyle w:val="Hyperkobling"/>
            <w:rFonts w:ascii="Verdana" w:eastAsia="Verdana" w:hAnsi="Verdana" w:cs="Verdana"/>
            <w:color w:val="C44D0C"/>
            <w:bdr w:val="none" w:sz="0" w:space="0" w:color="auto" w:frame="1"/>
          </w:rPr>
          <w:t>offentlighetsloven §§ 20 og 21 (lovdata.no).</w:t>
        </w:r>
      </w:hyperlink>
    </w:p>
    <w:p w14:paraId="7C3CF38F" w14:textId="77777777" w:rsidR="00FB0DCC" w:rsidRPr="00BE2651" w:rsidRDefault="00000000" w:rsidP="7F897DCA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Verdana" w:eastAsia="Verdana" w:hAnsi="Verdana" w:cs="Verdana"/>
          <w:color w:val="2C2C2C"/>
        </w:rPr>
      </w:pPr>
      <w:r w:rsidRPr="7F897DCA">
        <w:rPr>
          <w:rFonts w:ascii="Verdana" w:eastAsia="Verdana" w:hAnsi="Verdana" w:cs="Verdana"/>
          <w:color w:val="2C2C2C"/>
        </w:rPr>
        <w:t xml:space="preserve">det er </w:t>
      </w:r>
      <w:r w:rsidRPr="7F897DCA">
        <w:rPr>
          <w:rFonts w:ascii="Verdana" w:eastAsia="Verdana" w:hAnsi="Verdana" w:cs="Verdana"/>
          <w:color w:val="2C2C2C"/>
        </w:rPr>
        <w:t>nødvendig å hemmeligholde opplysningene av hensyn til forebygging, etterforskning, avsløring eller rettslig forfølging av straffbare handlinger.</w:t>
      </w:r>
    </w:p>
    <w:p w14:paraId="4958B30E" w14:textId="77777777" w:rsidR="00FB0DCC" w:rsidRPr="00BE2651" w:rsidRDefault="00000000" w:rsidP="7F897DCA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Verdana" w:eastAsia="Verdana" w:hAnsi="Verdana" w:cs="Verdana"/>
          <w:color w:val="2C2C2C"/>
        </w:rPr>
      </w:pPr>
      <w:r w:rsidRPr="7F897DCA">
        <w:rPr>
          <w:rFonts w:ascii="Verdana" w:eastAsia="Verdana" w:hAnsi="Verdana" w:cs="Verdana"/>
          <w:color w:val="2C2C2C"/>
        </w:rPr>
        <w:t>det er utilrådelig at du får kjennskap til opplysningene av hensyn til helsen din eller forholdet ditt til nære pårørende.</w:t>
      </w:r>
    </w:p>
    <w:p w14:paraId="6AD9EE89" w14:textId="77777777" w:rsidR="00FB0DCC" w:rsidRPr="00BE2651" w:rsidRDefault="00000000" w:rsidP="7F897DCA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Verdana" w:eastAsia="Verdana" w:hAnsi="Verdana" w:cs="Verdana"/>
          <w:color w:val="2C2C2C"/>
        </w:rPr>
      </w:pPr>
      <w:r w:rsidRPr="7F897DCA">
        <w:rPr>
          <w:rFonts w:ascii="Verdana" w:eastAsia="Verdana" w:hAnsi="Verdana" w:cs="Verdana"/>
          <w:color w:val="2C2C2C"/>
        </w:rPr>
        <w:t>opplysningene er omfattet av lovfestet taushetsplikt.</w:t>
      </w:r>
    </w:p>
    <w:p w14:paraId="45A0DE6D" w14:textId="77777777" w:rsidR="00FB0DCC" w:rsidRPr="00BE2651" w:rsidRDefault="00000000" w:rsidP="7F897DCA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Verdana" w:eastAsia="Verdana" w:hAnsi="Verdana" w:cs="Verdana"/>
          <w:color w:val="2C2C2C"/>
        </w:rPr>
      </w:pPr>
      <w:r w:rsidRPr="7F897DCA">
        <w:rPr>
          <w:rFonts w:ascii="Verdana" w:eastAsia="Verdana" w:hAnsi="Verdana" w:cs="Verdana"/>
          <w:color w:val="2C2C2C"/>
        </w:rPr>
        <w:t>det er i strid med åpenbare og grunnleggende private eller offentlige interesser å gi innsyn, medregnet hensynet til deg selv.</w:t>
      </w:r>
    </w:p>
    <w:p w14:paraId="4781E1BA" w14:textId="77777777" w:rsidR="78236AAE" w:rsidRPr="006D5127" w:rsidRDefault="00000000" w:rsidP="78236AAE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Verdana" w:eastAsia="Verdana" w:hAnsi="Verdana" w:cs="Verdana"/>
          <w:color w:val="2C2C2C"/>
        </w:rPr>
      </w:pPr>
      <w:r w:rsidRPr="7F897DCA">
        <w:rPr>
          <w:rFonts w:ascii="Verdana" w:eastAsia="Verdana" w:hAnsi="Verdana" w:cs="Verdana"/>
          <w:color w:val="2C2C2C"/>
        </w:rPr>
        <w:t>innsynet vil krenke rettighetene og frihetene til andre.</w:t>
      </w:r>
    </w:p>
    <w:p w14:paraId="5CBD6626" w14:textId="77777777" w:rsidR="00FB0DCC" w:rsidRPr="00E4454C" w:rsidRDefault="00000000" w:rsidP="6928B93C">
      <w:pPr>
        <w:textAlignment w:val="baseline"/>
        <w:rPr>
          <w:rFonts w:ascii="Verdana" w:eastAsia="Verdana" w:hAnsi="Verdana" w:cs="Verdana"/>
          <w:color w:val="FF0000"/>
          <w:sz w:val="22"/>
          <w:szCs w:val="22"/>
          <w:lang w:eastAsia="nb-NO"/>
        </w:rPr>
      </w:pPr>
      <w:r w:rsidRPr="7F897DCA">
        <w:rPr>
          <w:rFonts w:ascii="Verdana" w:eastAsia="Verdana" w:hAnsi="Verdana" w:cs="Verdana"/>
          <w:color w:val="2C2C2C"/>
          <w:shd w:val="clear" w:color="auto" w:fill="FFFFFF"/>
          <w:lang w:eastAsia="nb-NO"/>
        </w:rPr>
        <w:t xml:space="preserve">Dersom kommunen nekter </w:t>
      </w:r>
      <w:r>
        <w:rPr>
          <w:rFonts w:ascii="Verdana" w:eastAsia="Verdana" w:hAnsi="Verdana" w:cs="Verdana"/>
          <w:color w:val="2C2C2C"/>
          <w:shd w:val="clear" w:color="auto" w:fill="FFFFFF"/>
          <w:lang w:eastAsia="nb-NO"/>
        </w:rPr>
        <w:t xml:space="preserve">den registrerte </w:t>
      </w:r>
      <w:r w:rsidRPr="7F897DCA">
        <w:rPr>
          <w:rFonts w:ascii="Verdana" w:eastAsia="Verdana" w:hAnsi="Verdana" w:cs="Verdana"/>
          <w:color w:val="2C2C2C"/>
          <w:shd w:val="clear" w:color="auto" w:fill="FFFFFF"/>
          <w:lang w:eastAsia="nb-NO"/>
        </w:rPr>
        <w:t>innsyn, skal den registrerte ha en skriftlig begrunnelse, som henviser til den bestemmelsen som er grunnlag for avslaget, uten ugrunnet opphold og normalt seinest innen en måned.</w:t>
      </w:r>
      <w:r>
        <w:rPr>
          <w:rFonts w:ascii="Verdana" w:eastAsia="Verdana" w:hAnsi="Verdana" w:cs="Verdana"/>
          <w:color w:val="2C2C2C"/>
          <w:shd w:val="clear" w:color="auto" w:fill="FFFFFF"/>
          <w:lang w:eastAsia="nb-NO"/>
        </w:rPr>
        <w:t xml:space="preserve"> </w:t>
      </w:r>
    </w:p>
    <w:p w14:paraId="6904A7E1" w14:textId="77777777" w:rsidR="00FB0DCC" w:rsidRPr="00E4454C" w:rsidRDefault="00000000" w:rsidP="6928B93C">
      <w:pPr>
        <w:textAlignment w:val="baseline"/>
        <w:rPr>
          <w:rFonts w:ascii="Verdana" w:eastAsia="Verdana" w:hAnsi="Verdana" w:cs="Verdana"/>
          <w:color w:val="2C2C2C"/>
          <w:lang w:eastAsia="nb-NO"/>
        </w:rPr>
      </w:pPr>
    </w:p>
    <w:p w14:paraId="72A9480A" w14:textId="77777777" w:rsidR="00FB0DCC" w:rsidRPr="00E4454C" w:rsidRDefault="00000000" w:rsidP="6928B93C">
      <w:pPr>
        <w:textAlignment w:val="baseline"/>
        <w:rPr>
          <w:rFonts w:ascii="Verdana" w:eastAsia="Verdana" w:hAnsi="Verdana" w:cs="Verdana"/>
          <w:color w:val="2C2C2C"/>
          <w:lang w:eastAsia="nb-NO"/>
        </w:rPr>
      </w:pPr>
      <w:r w:rsidRPr="6928B93C">
        <w:rPr>
          <w:rFonts w:ascii="Verdana" w:eastAsia="Verdana" w:hAnsi="Verdana" w:cs="Verdana"/>
          <w:color w:val="2C2C2C"/>
          <w:lang w:eastAsia="nb-NO"/>
        </w:rPr>
        <w:t xml:space="preserve">Klage- og tilsynsmyndighet er Datatilsynet. </w:t>
      </w:r>
    </w:p>
    <w:p w14:paraId="633D97A6" w14:textId="77777777" w:rsidR="6928B93C" w:rsidRDefault="00000000" w:rsidP="6928B93C">
      <w:pPr>
        <w:rPr>
          <w:rFonts w:ascii="Verdana" w:eastAsia="Verdana" w:hAnsi="Verdana" w:cs="Verdana"/>
          <w:color w:val="2C2C2C"/>
          <w:lang w:eastAsia="nb-NO"/>
        </w:rPr>
      </w:pPr>
    </w:p>
    <w:p w14:paraId="4CEFAA6C" w14:textId="77777777" w:rsidR="004D5BFD" w:rsidRDefault="00000000" w:rsidP="78236AAE">
      <w:pPr>
        <w:rPr>
          <w:rFonts w:ascii="Verdana" w:eastAsia="Verdana" w:hAnsi="Verdana" w:cs="Verdana"/>
          <w:b/>
          <w:bCs/>
        </w:rPr>
      </w:pPr>
      <w:r w:rsidRPr="78236AAE">
        <w:rPr>
          <w:rFonts w:ascii="Verdana" w:eastAsia="Verdana" w:hAnsi="Verdana" w:cs="Verdana"/>
          <w:b/>
          <w:bCs/>
        </w:rPr>
        <w:t xml:space="preserve">Relevante lenker lovdata og Datatilsynet: </w:t>
      </w:r>
    </w:p>
    <w:p w14:paraId="2169D963" w14:textId="77777777" w:rsidR="004D5BFD" w:rsidRDefault="00000000" w:rsidP="78236AAE">
      <w:pPr>
        <w:rPr>
          <w:rFonts w:ascii="Verdana" w:eastAsia="Verdana" w:hAnsi="Verdana" w:cs="Verdana"/>
        </w:rPr>
      </w:pPr>
      <w:hyperlink r:id="rId16" w:history="1">
        <w:r w:rsidRPr="78236AAE">
          <w:rPr>
            <w:rStyle w:val="Hyperkobling"/>
            <w:rFonts w:ascii="Verdana" w:eastAsia="Verdana" w:hAnsi="Verdana" w:cs="Verdana"/>
          </w:rPr>
          <w:t>Datatilsynet- den registrertes rettigheter- rett til innsyn</w:t>
        </w:r>
      </w:hyperlink>
    </w:p>
    <w:p w14:paraId="74C570DF" w14:textId="77777777" w:rsidR="004D5BFD" w:rsidRDefault="00000000" w:rsidP="008C3D6D">
      <w:pPr>
        <w:rPr>
          <w:rFonts w:ascii="Verdana" w:eastAsia="Verdana" w:hAnsi="Verdana" w:cs="Verdana"/>
        </w:rPr>
      </w:pPr>
      <w:hyperlink r:id="rId17" w:anchor="gdpr%2Fa15" w:history="1">
        <w:r w:rsidRPr="78236AAE">
          <w:rPr>
            <w:rStyle w:val="Hyperkobling"/>
            <w:rFonts w:ascii="Verdana" w:eastAsia="Verdana" w:hAnsi="Verdana" w:cs="Verdana"/>
          </w:rPr>
          <w:t>Lovdata lov 2018-06-15-38</w:t>
        </w:r>
      </w:hyperlink>
    </w:p>
    <w:sectPr w:rsidR="004D5BFD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78B1" w14:textId="77777777" w:rsidR="00F217A8" w:rsidRDefault="00F217A8">
      <w:r>
        <w:separator/>
      </w:r>
    </w:p>
  </w:endnote>
  <w:endnote w:type="continuationSeparator" w:id="0">
    <w:p w14:paraId="4F83FEEA" w14:textId="77777777" w:rsidR="00F217A8" w:rsidRDefault="00F2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C3F2A" w14:paraId="15BB182B" w14:textId="77777777" w:rsidTr="78236AAE">
      <w:tc>
        <w:tcPr>
          <w:tcW w:w="3020" w:type="dxa"/>
        </w:tcPr>
        <w:p w14:paraId="08D53285" w14:textId="77777777" w:rsidR="78236AAE" w:rsidRDefault="00000000" w:rsidP="78236AAE">
          <w:pPr>
            <w:pStyle w:val="Topptekst"/>
            <w:ind w:left="-115"/>
          </w:pPr>
        </w:p>
      </w:tc>
      <w:tc>
        <w:tcPr>
          <w:tcW w:w="3020" w:type="dxa"/>
        </w:tcPr>
        <w:p w14:paraId="75FFC7BE" w14:textId="77777777" w:rsidR="78236AAE" w:rsidRDefault="00000000" w:rsidP="78236AAE">
          <w:pPr>
            <w:pStyle w:val="Topptekst"/>
            <w:jc w:val="center"/>
          </w:pPr>
        </w:p>
      </w:tc>
      <w:tc>
        <w:tcPr>
          <w:tcW w:w="3020" w:type="dxa"/>
        </w:tcPr>
        <w:p w14:paraId="709EC366" w14:textId="77777777" w:rsidR="78236AAE" w:rsidRDefault="00000000" w:rsidP="78236AAE">
          <w:pPr>
            <w:pStyle w:val="Topptekst"/>
            <w:ind w:right="-115"/>
            <w:jc w:val="right"/>
          </w:pPr>
        </w:p>
      </w:tc>
    </w:tr>
  </w:tbl>
  <w:p w14:paraId="459AE3B1" w14:textId="77777777" w:rsidR="00B15C14" w:rsidRDefault="0000000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CB22" w14:textId="77777777" w:rsidR="00F217A8" w:rsidRDefault="00F217A8">
      <w:r>
        <w:separator/>
      </w:r>
    </w:p>
  </w:footnote>
  <w:footnote w:type="continuationSeparator" w:id="0">
    <w:p w14:paraId="1650B5A5" w14:textId="77777777" w:rsidR="00F217A8" w:rsidRDefault="00F2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3" w:type="dxa"/>
      <w:tblInd w:w="-856" w:type="dxa"/>
      <w:tblLayout w:type="fixed"/>
      <w:tblLook w:val="00A0" w:firstRow="1" w:lastRow="0" w:firstColumn="1" w:lastColumn="0" w:noHBand="0" w:noVBand="0"/>
    </w:tblPr>
    <w:tblGrid>
      <w:gridCol w:w="1304"/>
      <w:gridCol w:w="6393"/>
      <w:gridCol w:w="2896"/>
    </w:tblGrid>
    <w:tr w:rsidR="000C3F2A" w14:paraId="4AF61547" w14:textId="77777777" w:rsidTr="00FB0DCC">
      <w:trPr>
        <w:trHeight w:hRule="exact" w:val="1389"/>
      </w:trPr>
      <w:tc>
        <w:tcPr>
          <w:tcW w:w="1304" w:type="dxa"/>
          <w:hideMark/>
        </w:tcPr>
        <w:p w14:paraId="646206CD" w14:textId="77777777" w:rsidR="00FB0DCC" w:rsidRDefault="00000000" w:rsidP="00FB0DCC">
          <w:pPr>
            <w:rPr>
              <w:b/>
              <w:sz w:val="28"/>
              <w:szCs w:val="28"/>
            </w:rPr>
          </w:pPr>
          <w:bookmarkStart w:id="0" w:name="OLE_LINK3"/>
          <w:bookmarkStart w:id="1" w:name="OLE_LINK2"/>
          <w:bookmarkStart w:id="2" w:name="OLE_LINK1"/>
          <w:r>
            <w:rPr>
              <w:b/>
              <w:noProof/>
              <w:sz w:val="28"/>
              <w:szCs w:val="28"/>
            </w:rPr>
            <w:drawing>
              <wp:inline distT="0" distB="0" distL="0" distR="0" wp14:anchorId="38C5A6EF" wp14:editId="11A1E795">
                <wp:extent cx="673100" cy="813435"/>
                <wp:effectExtent l="0" t="0" r="0" b="5715"/>
                <wp:docPr id="1" name="Bilde 1" descr="Et bilde som inneholder tekst, utklipp, flagg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Et bilde som inneholder tekst, utklipp, flagg&#10;&#10;Automatisk generer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72" r="255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3" w:type="dxa"/>
        </w:tcPr>
        <w:p w14:paraId="1FABD1B3" w14:textId="77777777" w:rsidR="00FB0DCC" w:rsidRDefault="00000000" w:rsidP="00FB0DCC">
          <w:pPr>
            <w:rPr>
              <w:rFonts w:ascii="Verdana" w:hAnsi="Verdana"/>
              <w:b/>
            </w:rPr>
          </w:pPr>
          <w:bookmarkStart w:id="3" w:name="OLE_LINK5"/>
          <w:bookmarkStart w:id="4" w:name="OLE_LINK4"/>
          <w:r>
            <w:rPr>
              <w:rFonts w:ascii="Verdana" w:hAnsi="Verdana"/>
              <w:b/>
            </w:rPr>
            <w:t>Porsanger kommune</w:t>
          </w:r>
        </w:p>
        <w:p w14:paraId="1D9870BC" w14:textId="77777777" w:rsidR="00FB0DCC" w:rsidRDefault="00000000" w:rsidP="00FB0DCC">
          <w:pPr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Porsáŋggu gielda</w:t>
          </w:r>
        </w:p>
        <w:p w14:paraId="7C299251" w14:textId="77777777" w:rsidR="00FB0DCC" w:rsidRDefault="00000000" w:rsidP="00FB0DCC">
          <w:pPr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Porsangin komuuni</w:t>
          </w:r>
          <w:bookmarkEnd w:id="3"/>
          <w:bookmarkEnd w:id="4"/>
        </w:p>
        <w:p w14:paraId="61DF2C34" w14:textId="77777777" w:rsidR="00FB0DCC" w:rsidRDefault="00000000" w:rsidP="00FB0DCC">
          <w:pPr>
            <w:rPr>
              <w:rFonts w:ascii="Verdana" w:hAnsi="Verdana"/>
              <w:b/>
            </w:rPr>
          </w:pPr>
        </w:p>
        <w:p w14:paraId="49AFAD9E" w14:textId="77777777" w:rsidR="00FB0DCC" w:rsidRDefault="00000000" w:rsidP="00FB0DCC">
          <w:pPr>
            <w:rPr>
              <w:rFonts w:ascii="Verdana" w:hAnsi="Verdana"/>
              <w:b/>
              <w:sz w:val="20"/>
              <w:szCs w:val="20"/>
            </w:rPr>
          </w:pPr>
          <w:bookmarkStart w:id="5" w:name="AdmBetegnelse"/>
          <w:bookmarkStart w:id="6" w:name="AdmBetegnelse_3R"/>
          <w:bookmarkEnd w:id="5"/>
          <w:bookmarkEnd w:id="6"/>
        </w:p>
      </w:tc>
      <w:tc>
        <w:tcPr>
          <w:tcW w:w="2896" w:type="dxa"/>
        </w:tcPr>
        <w:p w14:paraId="73A4615C" w14:textId="77777777" w:rsidR="00FB0DCC" w:rsidRDefault="00000000" w:rsidP="00FB0DCC">
          <w:pPr>
            <w:pStyle w:val="Topptekst"/>
            <w:rPr>
              <w:rFonts w:ascii="Times New Roman" w:hAnsi="Times New Roman"/>
              <w:sz w:val="16"/>
            </w:rPr>
          </w:pPr>
        </w:p>
        <w:p w14:paraId="0437F3E5" w14:textId="77777777" w:rsidR="00EB6725" w:rsidRDefault="00000000" w:rsidP="00FB0DCC">
          <w:pPr>
            <w:pStyle w:val="Toppteks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2022/993</w:t>
          </w:r>
        </w:p>
        <w:p w14:paraId="71945A33" w14:textId="77777777" w:rsidR="00EB6725" w:rsidRDefault="00000000" w:rsidP="00FB0DCC">
          <w:pPr>
            <w:pStyle w:val="Topptekst"/>
            <w:rPr>
              <w:rFonts w:ascii="Times New Roman" w:hAnsi="Times New Roman"/>
              <w:sz w:val="16"/>
            </w:rPr>
          </w:pPr>
        </w:p>
        <w:p w14:paraId="635557B4" w14:textId="77777777" w:rsidR="00EB6725" w:rsidRDefault="00000000" w:rsidP="00FB0DCC">
          <w:pPr>
            <w:pStyle w:val="Toppteks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Ferdigstilt: </w:t>
          </w:r>
          <w:r>
            <w:rPr>
              <w:rFonts w:ascii="Times New Roman" w:hAnsi="Times New Roman"/>
              <w:sz w:val="16"/>
            </w:rPr>
            <w:t>juni 2022</w:t>
          </w:r>
        </w:p>
        <w:p w14:paraId="5C1273EC" w14:textId="77777777" w:rsidR="00EB6725" w:rsidRDefault="00000000" w:rsidP="00FB0DCC">
          <w:pPr>
            <w:pStyle w:val="Toppteks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Revidert:</w:t>
          </w:r>
        </w:p>
      </w:tc>
    </w:tr>
    <w:bookmarkEnd w:id="0"/>
    <w:bookmarkEnd w:id="1"/>
    <w:bookmarkEnd w:id="2"/>
  </w:tbl>
  <w:p w14:paraId="5D9B17E3" w14:textId="77777777" w:rsidR="00FB0DCC" w:rsidRDefault="00000000" w:rsidP="00FB0DCC">
    <w:pPr>
      <w:pStyle w:val="Topptekst"/>
    </w:pPr>
  </w:p>
  <w:p w14:paraId="21F04A2A" w14:textId="77777777" w:rsidR="00FB0DCC" w:rsidRDefault="0000000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47B"/>
    <w:multiLevelType w:val="multilevel"/>
    <w:tmpl w:val="8E24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57B61"/>
    <w:multiLevelType w:val="multilevel"/>
    <w:tmpl w:val="0E2C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5503721">
    <w:abstractNumId w:val="1"/>
  </w:num>
  <w:num w:numId="2" w16cid:durableId="11209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2A"/>
    <w:rsid w:val="000C3F2A"/>
    <w:rsid w:val="008B39EE"/>
    <w:rsid w:val="00F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FD47"/>
  <w15:docId w15:val="{B85274A2-AFA3-438B-A5EE-E78B461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DCC"/>
    <w:pPr>
      <w:spacing w:after="0" w:line="240" w:lineRule="auto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B0D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B0DCC"/>
  </w:style>
  <w:style w:type="paragraph" w:styleId="Bunntekst">
    <w:name w:val="footer"/>
    <w:basedOn w:val="Normal"/>
    <w:link w:val="BunntekstTegn"/>
    <w:uiPriority w:val="99"/>
    <w:unhideWhenUsed/>
    <w:rsid w:val="00FB0D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B0DCC"/>
  </w:style>
  <w:style w:type="character" w:styleId="Hyperkobling">
    <w:name w:val="Hyperlink"/>
    <w:basedOn w:val="Standardskriftforavsnitt"/>
    <w:uiPriority w:val="99"/>
    <w:unhideWhenUsed/>
    <w:rsid w:val="00FB0DCC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skriftforavsnitt"/>
    <w:rsid w:val="00FB0DCC"/>
  </w:style>
  <w:style w:type="paragraph" w:styleId="NormalWeb">
    <w:name w:val="Normal (Web)"/>
    <w:basedOn w:val="Normal"/>
    <w:uiPriority w:val="99"/>
    <w:semiHidden/>
    <w:unhideWhenUsed/>
    <w:rsid w:val="00FB0D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table" w:styleId="Tabellrutenett">
    <w:name w:val="Table Grid"/>
    <w:basedOn w:val="Vanligtabell"/>
    <w:uiPriority w:val="59"/>
    <w:rsid w:val="00B15C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tilsynet.no/rettigheter-og-plikter/den-registrertes-rettigheter/rett-til-retting/" TargetMode="External"/><Relationship Id="rId13" Type="http://schemas.openxmlformats.org/officeDocument/2006/relationships/hyperlink" Target="https://svarut.ks.no/edialog/mottaker/95941173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atatilsynet.no/globalassets/global/dokumenter-pdfer-skjema-ol/skjema-maler/innsynsskjema_2018.pdf" TargetMode="External"/><Relationship Id="rId12" Type="http://schemas.openxmlformats.org/officeDocument/2006/relationships/hyperlink" Target="https://www.datatilsynet.no/rettigheter-og-plikter/den-registrertes-rettigheter/rettar-ved-automatiserte-avgjerder/" TargetMode="External"/><Relationship Id="rId17" Type="http://schemas.openxmlformats.org/officeDocument/2006/relationships/hyperlink" Target="https://lovdata.no/dokument/NL/lov/2018-06-15-38/KAPITTEL_gdpr-3-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atatilsynet.no/rettigheter-og-plikter/den-registrertes-rettigheter/rett-til-innsy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atatilsynet.no/rettigheter-og-plikter/den-registrertes-rettigheter/rett-til-a-protester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vdata.no/NL/lov/2006-05-19-16/&#167;20" TargetMode="External"/><Relationship Id="rId10" Type="http://schemas.openxmlformats.org/officeDocument/2006/relationships/hyperlink" Target="https://www.datatilsynet.no/rettigheter-og-plikter/den-registrertes-rettigheter/rett-til-begrensning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atatilsynet.no/rettigheter-og-plikter/den-registrertes-rettigheter/rett-til-sletting/" TargetMode="External"/><Relationship Id="rId14" Type="http://schemas.openxmlformats.org/officeDocument/2006/relationships/hyperlink" Target="https://svarut.ks.no/edialog/mottaker/95941173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Helen Blix Mørland</dc:creator>
  <cp:lastModifiedBy>Ann Helen Blix Mørland</cp:lastModifiedBy>
  <cp:revision>3</cp:revision>
  <dcterms:created xsi:type="dcterms:W3CDTF">2022-08-02T21:56:00Z</dcterms:created>
  <dcterms:modified xsi:type="dcterms:W3CDTF">2022-08-02T21:56:00Z</dcterms:modified>
</cp:coreProperties>
</file>